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Style w:val="Strong"/>
        </w:rPr>
      </w:pPr>
      <w:r>
        <w:rPr>
          <w:rStyle w:val="Strong"/>
          <w:rtl w:val="0"/>
          <w:lang w:val="en-US"/>
        </w:rPr>
        <w:t xml:space="preserve">Career and College Readiness Standards Monthly Checklist </w:t>
      </w:r>
      <w:r>
        <w:rPr>
          <w:rStyle w:val="Strong"/>
          <w:rtl w:val="0"/>
        </w:rPr>
        <w:t xml:space="preserve">– </w:t>
      </w:r>
      <w:r>
        <w:rPr>
          <w:rStyle w:val="Strong"/>
          <w:rtl w:val="0"/>
        </w:rPr>
        <w:t>6</w:t>
      </w:r>
      <w:r>
        <w:rPr>
          <w:b w:val="1"/>
          <w:bCs w:val="1"/>
          <w:vertAlign w:val="superscript"/>
          <w:rtl w:val="0"/>
          <w:lang w:val="en-US"/>
        </w:rPr>
        <w:t>th</w:t>
      </w:r>
      <w:r>
        <w:rPr>
          <w:rStyle w:val="Strong"/>
          <w:rtl w:val="0"/>
          <w:lang w:val="de-DE"/>
        </w:rPr>
        <w:t xml:space="preserve"> SCIENCE</w:t>
      </w:r>
    </w:p>
    <w:p>
      <w:pPr>
        <w:pStyle w:val="Body"/>
        <w:rPr>
          <w:b w:val="1"/>
          <w:bCs w:val="1"/>
        </w:rPr>
      </w:pPr>
    </w:p>
    <w:tbl>
      <w:tblPr>
        <w:tblW w:w="722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49"/>
        <w:gridCol w:w="4204"/>
        <w:gridCol w:w="784"/>
        <w:gridCol w:w="790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4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Standard</w:t>
            </w:r>
          </w:p>
        </w:tc>
        <w:tc>
          <w:tcPr>
            <w:tcW w:type="dxa" w:w="420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</w:tc>
        <w:tc>
          <w:tcPr>
            <w:tcW w:type="dxa" w:w="7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Date</w:t>
            </w:r>
          </w:p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Notes </w:t>
            </w:r>
          </w:p>
        </w:tc>
      </w:tr>
      <w:tr>
        <w:tblPrEx>
          <w:shd w:val="clear" w:color="auto" w:fill="ced7e7"/>
        </w:tblPrEx>
        <w:trPr>
          <w:trHeight w:val="1020" w:hRule="atLeast"/>
        </w:trPr>
        <w:tc>
          <w:tcPr>
            <w:tcW w:type="dxa" w:w="7227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shd w:val="clear" w:color="auto" w:fill="ffffff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Interdependent Relationships in Ecosystems (Life Sciences Content)</w:t>
            </w:r>
            <w:r>
              <w:rPr>
                <w:rFonts w:ascii="Arial" w:cs="Arial" w:hAnsi="Arial" w:eastAsia="Arial"/>
                <w:sz w:val="23"/>
                <w:szCs w:val="23"/>
                <w:shd w:val="clear" w:color="auto" w:fill="ffffff"/>
              </w:rPr>
            </w:r>
          </w:p>
        </w:tc>
      </w:tr>
      <w:tr>
        <w:tblPrEx>
          <w:shd w:val="clear" w:color="auto" w:fill="ced7e7"/>
        </w:tblPrEx>
        <w:trPr>
          <w:trHeight w:val="1270" w:hRule="atLeast"/>
        </w:trPr>
        <w:tc>
          <w:tcPr>
            <w:tcW w:type="dxa" w:w="14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 6. LS.1</w:t>
            </w:r>
          </w:p>
        </w:tc>
        <w:tc>
          <w:tcPr>
            <w:tcW w:type="dxa" w:w="420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construct an explanation that predicts patterns of interactions among organisms across multiple ecosystems.</w:t>
            </w:r>
            <w:r>
              <w:rPr/>
            </w:r>
          </w:p>
        </w:tc>
        <w:tc>
          <w:tcPr>
            <w:tcW w:type="dxa" w:w="78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81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 6. LS.2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9f9f9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evaluate competing design solutions for maintaining biodiversity and ecosystem services</w:t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00" w:hRule="atLeast"/>
        </w:trPr>
        <w:tc>
          <w:tcPr>
            <w:tcW w:type="dxa" w:w="7227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b w:val="1"/>
                <w:bCs w:val="1"/>
                <w:sz w:val="23"/>
                <w:szCs w:val="23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Matter and Energy in Organisms and Ecosystems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1820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LS.3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construct a scientific explanation based on evidence for the role of photosynthesis in the cycling of matter and flow of energy into and out of organisms.</w:t>
            </w:r>
          </w:p>
          <w:p>
            <w:pPr>
              <w:pStyle w:val="Body"/>
            </w:pPr>
            <w:r>
              <w:rPr>
                <w:lang w:val="en-US"/>
              </w:rPr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760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LS.4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 model to describe how food is rearranged through chemical reactions forming new molecules that support growth and/or release energy as this matter moves through an organism.</w:t>
            </w:r>
            <w:r>
              <w:rPr/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20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LS.5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analyze and interpret data to provide evidence for the effects of resource availability on organisms and populations of organisms in an ecosystem.</w:t>
            </w:r>
            <w:r>
              <w:rPr/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600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LS.6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 model to describe the cycling of matter and flow of energy among living and nonliving parts of an ecosystem.</w:t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600" w:hRule="atLeast"/>
        </w:trPr>
        <w:tc>
          <w:tcPr>
            <w:tcW w:type="dxa" w:w="144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 6. LS.7</w:t>
            </w:r>
          </w:p>
        </w:tc>
        <w:tc>
          <w:tcPr>
            <w:tcW w:type="dxa" w:w="420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construct an argument supported by empirical evidence that changes to physical or biological components of an ecosystem affect populations.</w:t>
            </w:r>
            <w:r>
              <w:rPr/>
            </w:r>
          </w:p>
        </w:tc>
        <w:tc>
          <w:tcPr>
            <w:tcW w:type="dxa" w:w="78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</w:pPr>
    </w:p>
    <w:tbl>
      <w:tblPr>
        <w:tblW w:w="935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879"/>
        <w:gridCol w:w="5448"/>
        <w:gridCol w:w="1016"/>
        <w:gridCol w:w="1016"/>
      </w:tblGrid>
      <w:tr>
        <w:tblPrEx>
          <w:shd w:val="clear" w:color="auto" w:fill="ced7e7"/>
        </w:tblPrEx>
        <w:trPr>
          <w:trHeight w:val="540" w:hRule="atLeast"/>
        </w:trPr>
        <w:tc>
          <w:tcPr>
            <w:tcW w:type="dxa" w:w="935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shd w:val="clear" w:color="auto" w:fill="ffffff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Waves and Electromagnetic Radiation</w:t>
            </w:r>
            <w:r>
              <w:rPr>
                <w:rFonts w:ascii="Arial" w:cs="Arial" w:hAnsi="Arial" w:eastAsia="Arial"/>
                <w:sz w:val="23"/>
                <w:szCs w:val="23"/>
                <w:shd w:val="clear" w:color="auto" w:fill="ffffff"/>
              </w:rPr>
            </w:r>
          </w:p>
        </w:tc>
      </w:tr>
      <w:tr>
        <w:tblPrEx>
          <w:shd w:val="clear" w:color="auto" w:fill="ced7e7"/>
        </w:tblPrEx>
        <w:trPr>
          <w:trHeight w:val="1810" w:hRule="atLeast"/>
        </w:trPr>
        <w:tc>
          <w:tcPr>
            <w:tcW w:type="dxa" w:w="187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PS. 1</w:t>
            </w:r>
          </w:p>
        </w:tc>
        <w:tc>
          <w:tcPr>
            <w:tcW w:type="dxa" w:w="54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use mathematical representations to describe a simple model for waves that includes how the amplitude of a wave is related to the energy in a wave.</w:t>
            </w:r>
          </w:p>
          <w:p>
            <w:pPr>
              <w:pStyle w:val="Body"/>
            </w:pPr>
            <w:r>
              <w:rPr>
                <w:lang w:val="en-US"/>
              </w:rPr>
            </w:r>
          </w:p>
        </w:tc>
        <w:tc>
          <w:tcPr>
            <w:tcW w:type="dxa" w:w="10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307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 6. PS.  2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and use a model to describe that waves are reflected, absorbed, or transmitted through various materials.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820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 6. PS.3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integrate qualitative scientific and technical information to support the claim that digitized signals are a more reliable way to encode and transmit information than analog signals.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13" w:hRule="atLeast"/>
        </w:trPr>
        <w:tc>
          <w:tcPr>
            <w:tcW w:type="dxa" w:w="9359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sz w:val="23"/>
                <w:szCs w:val="23"/>
                <w:shd w:val="clear" w:color="auto" w:fill="f9f9f9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9f9f9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3"/>
                <w:szCs w:val="23"/>
                <w:shd w:val="clear" w:color="auto" w:fill="f9f9f9"/>
                <w:rtl w:val="0"/>
                <w:lang w:val="en-US"/>
              </w:rPr>
              <w:t xml:space="preserve">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b w:val="0"/>
                <w:bCs w:val="0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b w:val="0"/>
                <w:bCs w:val="0"/>
                <w:sz w:val="23"/>
                <w:szCs w:val="23"/>
                <w:shd w:val="clear" w:color="auto" w:fill="ffffff"/>
                <w:rtl w:val="0"/>
                <w:lang w:val="en-US"/>
              </w:rPr>
              <w:t>Space Systems</w:t>
            </w:r>
          </w:p>
        </w:tc>
      </w:tr>
      <w:tr>
        <w:tblPrEx>
          <w:shd w:val="clear" w:color="auto" w:fill="ced7e7"/>
        </w:tblPrEx>
        <w:trPr>
          <w:trHeight w:val="1522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rFonts w:ascii="Times New Roman" w:hAnsi="Times New Roman"/>
                <w:outline w:val="0"/>
                <w:color w:val="000000"/>
                <w:spacing w:val="0"/>
                <w:sz w:val="24"/>
                <w:szCs w:val="24"/>
                <w:u w:color="000000"/>
                <w:rtl w:val="0"/>
                <w:lang w:val="en-US"/>
                <w14:textFill>
                  <w14:solidFill>
                    <w14:srgbClr w14:val="000000"/>
                  </w14:solidFill>
                </w14:textFill>
              </w:rPr>
              <w:t>S.6.ESS. 1</w:t>
            </w:r>
            <w:r>
              <w:rPr>
                <w:rFonts w:ascii="Arial" w:cs="Arial" w:hAnsi="Arial" w:eastAsia="Arial"/>
                <w:outline w:val="0"/>
                <w:color w:val="d3b257"/>
                <w:spacing w:val="15"/>
                <w:sz w:val="24"/>
                <w:szCs w:val="24"/>
                <w:u w:color="d3b257"/>
                <w14:textFill>
                  <w14:solidFill>
                    <w14:srgbClr w14:val="D3B257"/>
                  </w14:solidFill>
                </w14:textFill>
              </w:rPr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/>
            </w:pPr>
            <w:r>
              <w:rPr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and use a model of the Earth-sun-moon system to describe the cyclic patterns of lunar phases, eclipses of the sun and moon, and seasons.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sz w:val="23"/>
                <w:szCs w:val="23"/>
                <w:shd w:val="clear" w:color="auto" w:fill="f9f9f9"/>
                <w:rtl w:val="0"/>
                <w:lang w:val="en-US"/>
              </w:rPr>
              <w:t xml:space="preserve"> </w:t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80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S.6.ESS.2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and use a model to describe the role of gravity in the motions within galaxies and the solar system.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03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S.6.ESS.3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analyze and interpret data to determine scale properties of objects in the solar system.</w:t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77" w:hRule="atLeast"/>
        </w:trPr>
        <w:tc>
          <w:tcPr>
            <w:tcW w:type="dxa" w:w="9359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Weather and Climate</w:t>
            </w:r>
          </w:p>
        </w:tc>
      </w:tr>
      <w:tr>
        <w:tblPrEx>
          <w:shd w:val="clear" w:color="auto" w:fill="ced7e7"/>
        </w:tblPrEx>
        <w:trPr>
          <w:trHeight w:val="1520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S.6.ESS.4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collect data to provide evidence for how the motions and complex interactions of air masses results in changes in weather conditions.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20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S.6.ESS.5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develop and use a model to describe how unequal heating and rotation of the Earth cause patterns of atmospheric and oceanic circulation that determine regional climates.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80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S.6.ESS.6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ask questions to clarify evidence of the factors that have caused the change in global temperatures over the past century.</w:t>
            </w:r>
            <w:r>
              <w:rPr/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77" w:hRule="atLeast"/>
        </w:trPr>
        <w:tc>
          <w:tcPr>
            <w:tcW w:type="dxa" w:w="9359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Human Impacts</w:t>
            </w:r>
          </w:p>
        </w:tc>
      </w:tr>
      <w:tr>
        <w:tblPrEx>
          <w:shd w:val="clear" w:color="auto" w:fill="ced7e7"/>
        </w:tblPrEx>
        <w:trPr>
          <w:trHeight w:val="1212" w:hRule="atLeast"/>
        </w:trPr>
        <w:tc>
          <w:tcPr>
            <w:tcW w:type="dxa" w:w="187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2"/>
              <w:spacing w:before="0" w:after="0"/>
            </w:pPr>
            <w:r>
              <w:rPr>
                <w:sz w:val="24"/>
                <w:szCs w:val="24"/>
                <w:rtl w:val="0"/>
                <w:lang w:val="en-US"/>
              </w:rPr>
              <w:t>S.6.ESS.7</w:t>
            </w:r>
          </w:p>
        </w:tc>
        <w:tc>
          <w:tcPr>
            <w:tcW w:type="dxa" w:w="5448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analyze and interpret data on natural hazards to forecast future catastrophic events and inform the development of technologies to mitigate their effects.</w:t>
            </w:r>
          </w:p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16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</w:pPr>
    </w:p>
    <w:p>
      <w:pPr>
        <w:pStyle w:val="Body"/>
        <w:rPr>
          <w:rFonts w:ascii="Arial" w:cs="Arial" w:hAnsi="Arial" w:eastAsia="Arial"/>
          <w:b w:val="1"/>
          <w:bCs w:val="1"/>
          <w:outline w:val="0"/>
          <w:color w:val="000000"/>
          <w:sz w:val="23"/>
          <w:szCs w:val="23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</w:pPr>
      <w:r>
        <w:rPr>
          <w:rFonts w:ascii="Arial" w:hAnsi="Arial"/>
          <w:b w:val="1"/>
          <w:bCs w:val="1"/>
          <w:outline w:val="0"/>
          <w:color w:val="000000"/>
          <w:sz w:val="23"/>
          <w:szCs w:val="23"/>
          <w:u w:color="000000"/>
          <w:rtl w:val="0"/>
          <w14:textFill>
            <w14:solidFill>
              <w14:srgbClr w14:val="000000"/>
            </w14:solidFill>
          </w14:textFill>
        </w:rPr>
        <w:t>Grade 6-8:</w:t>
      </w:r>
      <w:r>
        <w:rPr>
          <w:rFonts w:ascii="Arial" w:hAnsi="Arial" w:hint="default"/>
          <w:outline w:val="0"/>
          <w:color w:val="000000"/>
          <w:sz w:val="23"/>
          <w:szCs w:val="23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outline w:val="0"/>
          <w:color w:val="000000"/>
          <w:sz w:val="23"/>
          <w:szCs w:val="23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Science (Engineering, Technology, and Applications of Science)</w:t>
      </w:r>
    </w:p>
    <w:p>
      <w:pPr>
        <w:pStyle w:val="Body"/>
        <w:rPr>
          <w:b w:val="1"/>
          <w:bCs w:val="1"/>
        </w:rPr>
      </w:pPr>
    </w:p>
    <w:tbl>
      <w:tblPr>
        <w:tblW w:w="722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0"/>
        <w:gridCol w:w="4207"/>
        <w:gridCol w:w="783"/>
        <w:gridCol w:w="783"/>
      </w:tblGrid>
      <w:tr>
        <w:tblPrEx>
          <w:shd w:val="clear" w:color="auto" w:fill="ced7e7"/>
        </w:tblPrEx>
        <w:trPr>
          <w:trHeight w:val="780" w:hRule="atLeast"/>
        </w:trPr>
        <w:tc>
          <w:tcPr>
            <w:tcW w:type="dxa" w:w="722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Engineering Design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45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S.6-8.ETS.1</w:t>
            </w:r>
          </w:p>
        </w:tc>
        <w:tc>
          <w:tcPr>
            <w:tcW w:type="dxa" w:w="420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Students will define the criteria and constraints of a design problem with sufficient precision to ensure a successful solution, taking into account relevant scientific principles and potential impacts on people and the natural environment that may limit possible solutions.</w:t>
            </w:r>
            <w:r>
              <w:rPr>
                <w:rFonts w:ascii="Arial" w:hAnsi="Arial"/>
                <w:sz w:val="22"/>
                <w:szCs w:val="22"/>
                <w:shd w:val="clear" w:color="auto" w:fill="f9f9f9"/>
                <w:rtl w:val="0"/>
                <w:lang w:val="en-US"/>
              </w:rPr>
              <w:t>.</w:t>
            </w:r>
            <w:r>
              <w:rPr>
                <w:rFonts w:ascii="Times New Roman" w:cs="Times New Roman" w:hAnsi="Times New Roman" w:eastAsia="Times New Roman"/>
                <w:sz w:val="22"/>
                <w:szCs w:val="22"/>
              </w:rPr>
            </w:r>
          </w:p>
        </w:tc>
        <w:tc>
          <w:tcPr>
            <w:tcW w:type="dxa" w:w="7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711" w:hRule="atLeast"/>
        </w:trPr>
        <w:tc>
          <w:tcPr>
            <w:tcW w:type="dxa" w:w="145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420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745" w:hRule="atLeast"/>
        </w:trPr>
        <w:tc>
          <w:tcPr>
            <w:tcW w:type="dxa" w:w="145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S.6-8.ETS.2</w:t>
            </w:r>
          </w:p>
        </w:tc>
        <w:tc>
          <w:tcPr>
            <w:tcW w:type="dxa" w:w="42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rtl w:val="0"/>
                <w:lang w:val="en-US"/>
              </w:rPr>
              <w:t>Students will evaluate competing design solutions using a systematic process to determine how well they meet the criteria and constraints of the problem</w:t>
            </w:r>
            <w:r>
              <w:rPr>
                <w:rFonts w:ascii="Arial" w:cs="Arial" w:hAnsi="Arial" w:eastAsia="Arial"/>
              </w:rPr>
            </w:r>
          </w:p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000" w:hRule="atLeast"/>
        </w:trPr>
        <w:tc>
          <w:tcPr>
            <w:tcW w:type="dxa" w:w="145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S.6-8.ETS.3</w:t>
            </w:r>
          </w:p>
        </w:tc>
        <w:tc>
          <w:tcPr>
            <w:tcW w:type="dxa" w:w="42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9f9f9"/>
                <w:rtl w:val="0"/>
                <w:lang w:val="en-US"/>
              </w:rPr>
              <w:t>Students will analyze data from tests to determine similarities and differences among several design solutions to identify the best characteristics of each that can be combined into a new solution to better meet the criteria for success.</w:t>
            </w:r>
            <w:r>
              <w:rPr/>
            </w:r>
          </w:p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81" w:hRule="atLeast"/>
        </w:trPr>
        <w:tc>
          <w:tcPr>
            <w:tcW w:type="dxa" w:w="145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S.6-8.ETS.4</w:t>
            </w:r>
          </w:p>
        </w:tc>
        <w:tc>
          <w:tcPr>
            <w:tcW w:type="dxa" w:w="42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2"/>
                <w:szCs w:val="22"/>
                <w:rtl w:val="0"/>
                <w:lang w:val="en-US"/>
              </w:rPr>
              <w:t>Students will develop a model to generate data for iterative testing and modification of a proposed object, tool, or process such that an optimal design can be achieved.</w:t>
            </w:r>
            <w:r>
              <w:rPr>
                <w:rFonts w:ascii="Arial" w:cs="Arial" w:hAnsi="Arial" w:eastAsia="Arial"/>
                <w:sz w:val="22"/>
                <w:szCs w:val="22"/>
              </w:rPr>
            </w:r>
          </w:p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rFonts w:ascii="Arial" w:hAnsi="Arial"/>
          <w:b w:val="1"/>
          <w:bCs w:val="1"/>
          <w:outline w:val="0"/>
          <w:color w:val="000000"/>
          <w:sz w:val="23"/>
          <w:szCs w:val="23"/>
          <w:u w:color="000000"/>
          <w:rtl w:val="0"/>
          <w14:textFill>
            <w14:solidFill>
              <w14:srgbClr w14:val="000000"/>
            </w14:solidFill>
          </w14:textFill>
        </w:rPr>
        <w:t>Grade 6-8:</w:t>
      </w:r>
      <w:r>
        <w:rPr>
          <w:rFonts w:ascii="Arial" w:hAnsi="Arial" w:hint="default"/>
          <w:outline w:val="0"/>
          <w:color w:val="000000"/>
          <w:sz w:val="23"/>
          <w:szCs w:val="23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Arial" w:hAnsi="Arial"/>
          <w:outline w:val="0"/>
          <w:color w:val="000000"/>
          <w:sz w:val="23"/>
          <w:szCs w:val="23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Science (Science Literacy)</w:t>
      </w:r>
    </w:p>
    <w:tbl>
      <w:tblPr>
        <w:tblW w:w="722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53"/>
        <w:gridCol w:w="4214"/>
        <w:gridCol w:w="780"/>
        <w:gridCol w:w="781"/>
      </w:tblGrid>
      <w:tr>
        <w:tblPrEx>
          <w:shd w:val="clear" w:color="auto" w:fill="ced7e7"/>
        </w:tblPrEx>
        <w:trPr>
          <w:trHeight w:val="1140" w:hRule="atLeast"/>
        </w:trPr>
        <w:tc>
          <w:tcPr>
            <w:tcW w:type="dxa" w:w="722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Reading- Key Ideas and Details</w:t>
            </w:r>
          </w:p>
          <w:p>
            <w:pPr>
              <w:pStyle w:val="Body"/>
            </w:pPr>
            <w:r>
              <w:rPr>
                <w:b w:val="1"/>
                <w:bCs w:val="1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1695" w:hRule="atLeast"/>
        </w:trPr>
        <w:tc>
          <w:tcPr>
            <w:tcW w:type="dxa" w:w="145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</w:t>
            </w:r>
          </w:p>
        </w:tc>
        <w:tc>
          <w:tcPr>
            <w:tcW w:type="dxa" w:w="42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cite specific textual evidence to support analysis of science and technical texts.</w:t>
            </w:r>
          </w:p>
        </w:tc>
        <w:tc>
          <w:tcPr>
            <w:tcW w:type="dxa" w:w="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22" w:hRule="atLeast"/>
        </w:trPr>
        <w:tc>
          <w:tcPr>
            <w:tcW w:type="dxa" w:w="145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 xml:space="preserve"> S.6-8.L.2</w:t>
            </w:r>
          </w:p>
        </w:tc>
        <w:tc>
          <w:tcPr>
            <w:tcW w:type="dxa" w:w="421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determine the central ideas or conclusions of a text; provide an accurate summary of the text distinct from prior knowledge or opinions.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1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70" w:hRule="atLeast"/>
        </w:trPr>
        <w:tc>
          <w:tcPr>
            <w:tcW w:type="dxa" w:w="145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 3</w:t>
            </w:r>
          </w:p>
        </w:tc>
        <w:tc>
          <w:tcPr>
            <w:tcW w:type="dxa" w:w="421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follow precisely a multistep procedure when carrying out experiments, taking measurements, or performing technical tasks.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1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tbl>
      <w:tblPr>
        <w:tblW w:w="722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94"/>
        <w:gridCol w:w="4162"/>
        <w:gridCol w:w="783"/>
        <w:gridCol w:w="783"/>
      </w:tblGrid>
      <w:tr>
        <w:tblPrEx>
          <w:shd w:val="clear" w:color="auto" w:fill="ced7e7"/>
        </w:tblPrEx>
        <w:trPr>
          <w:trHeight w:val="840" w:hRule="atLeast"/>
        </w:trPr>
        <w:tc>
          <w:tcPr>
            <w:tcW w:type="dxa" w:w="722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Reading- Craft and Structure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1927" w:hRule="atLeast"/>
        </w:trPr>
        <w:tc>
          <w:tcPr>
            <w:tcW w:type="dxa" w:w="14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S.6-8.L.4</w:t>
            </w:r>
          </w:p>
        </w:tc>
        <w:tc>
          <w:tcPr>
            <w:tcW w:type="dxa" w:w="4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determine the meaning of symbols, key terms, and other domain-specific words and phrases as they are used in a specific scientific or technical context relevant to grades 6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–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8 texts and topics.</w:t>
            </w:r>
          </w:p>
        </w:tc>
        <w:tc>
          <w:tcPr>
            <w:tcW w:type="dxa" w:w="78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68" w:hRule="atLeast"/>
        </w:trPr>
        <w:tc>
          <w:tcPr>
            <w:tcW w:type="dxa" w:w="149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S.6-8.L.5</w:t>
            </w:r>
          </w:p>
        </w:tc>
        <w:tc>
          <w:tcPr>
            <w:tcW w:type="dxa" w:w="4162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analyze the structure an author uses to organize a text, including how the major sections contribute to the whole and to an understanding of the topic</w:t>
            </w:r>
          </w:p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2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00" w:hRule="atLeast"/>
        </w:trPr>
        <w:tc>
          <w:tcPr>
            <w:tcW w:type="dxa" w:w="149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S.6-8.L.6</w:t>
            </w:r>
          </w:p>
        </w:tc>
        <w:tc>
          <w:tcPr>
            <w:tcW w:type="dxa" w:w="4162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analyze the author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’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 purpose in providing an explanation, describing a procedure, or discussing an experiment in a text.</w:t>
            </w:r>
          </w:p>
        </w:tc>
        <w:tc>
          <w:tcPr>
            <w:tcW w:type="dxa" w:w="783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2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tbl>
      <w:tblPr>
        <w:tblW w:w="723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607"/>
        <w:gridCol w:w="4069"/>
        <w:gridCol w:w="780"/>
        <w:gridCol w:w="780"/>
      </w:tblGrid>
      <w:tr>
        <w:tblPrEx>
          <w:shd w:val="clear" w:color="auto" w:fill="ced7e7"/>
        </w:tblPrEx>
        <w:trPr>
          <w:trHeight w:val="840" w:hRule="atLeast"/>
        </w:trPr>
        <w:tc>
          <w:tcPr>
            <w:tcW w:type="dxa" w:w="723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Reading- Integration of Knowledge and Ideas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960" w:hRule="atLeast"/>
        </w:trPr>
        <w:tc>
          <w:tcPr>
            <w:tcW w:type="dxa" w:w="16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S.6-8.L.7</w:t>
            </w:r>
          </w:p>
        </w:tc>
        <w:tc>
          <w:tcPr>
            <w:tcW w:type="dxa" w:w="40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integrate quantitative or technical information expressed in words in a text with a version of that information expressed visually (e.g., in a flowchart, diagram, model, graph, or table).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100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S.6-8.L.8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distinguish among facts, reasoned judgment based on research findings, and speculation in a text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10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S.6-8.L.9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compare and contrast the information gained from experiments, simulations, video, or multimedia sources with that gained from reading a text on the same topic.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tbl>
      <w:tblPr>
        <w:tblW w:w="7236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607"/>
        <w:gridCol w:w="4069"/>
        <w:gridCol w:w="780"/>
        <w:gridCol w:w="780"/>
      </w:tblGrid>
      <w:tr>
        <w:tblPrEx>
          <w:shd w:val="clear" w:color="auto" w:fill="ced7e7"/>
        </w:tblPrEx>
        <w:trPr>
          <w:trHeight w:val="780" w:hRule="atLeast"/>
        </w:trPr>
        <w:tc>
          <w:tcPr>
            <w:tcW w:type="dxa" w:w="723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Reading- Range of Reading and Level of Text Complexity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500" w:hRule="atLeast"/>
        </w:trPr>
        <w:tc>
          <w:tcPr>
            <w:tcW w:type="dxa" w:w="16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S.6-8.L.10</w:t>
            </w:r>
          </w:p>
        </w:tc>
        <w:tc>
          <w:tcPr>
            <w:tcW w:type="dxa" w:w="40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by the end of grade 8, read and comprehend science/technical texts in the grades 6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–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8 text complexity band independently and proficiently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11" w:hRule="atLeast"/>
        </w:trPr>
        <w:tc>
          <w:tcPr>
            <w:tcW w:type="dxa" w:w="7236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Writing- Text Types and Purposes</w:t>
            </w:r>
          </w:p>
        </w:tc>
      </w:tr>
      <w:tr>
        <w:tblPrEx>
          <w:shd w:val="clear" w:color="auto" w:fill="ced7e7"/>
        </w:tblPrEx>
        <w:trPr>
          <w:trHeight w:val="7202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S.6-8.L.11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300"/>
              <w:rPr>
                <w:rFonts w:ascii="Arial" w:cs="Arial" w:hAnsi="Arial" w:eastAsia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Students will write arguments focused on discipline-specific content:</w:t>
            </w:r>
          </w:p>
          <w:p>
            <w:pPr>
              <w:pStyle w:val="Body"/>
              <w:numPr>
                <w:ilvl w:val="0"/>
                <w:numId w:val="1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introduce claim(s) about a topic or issue, acknowledge and distinguish the claim(s) from alternate or opposing claims and organize the reasons and evidence logically.</w:t>
            </w:r>
          </w:p>
          <w:p>
            <w:pPr>
              <w:pStyle w:val="Body"/>
              <w:numPr>
                <w:ilvl w:val="0"/>
                <w:numId w:val="1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support claim(s) with logical reasoning and relevant, accurate data and evidence that demonstrate an understanding of the topic or text, using credible sources.</w:t>
            </w:r>
          </w:p>
          <w:p>
            <w:pPr>
              <w:pStyle w:val="Body"/>
              <w:numPr>
                <w:ilvl w:val="0"/>
                <w:numId w:val="1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use words, phrases and clauses to create cohesion and clarify the relationships among claim(s), counterclaims, reasons and evidence.</w:t>
            </w:r>
          </w:p>
          <w:p>
            <w:pPr>
              <w:pStyle w:val="Body"/>
              <w:numPr>
                <w:ilvl w:val="0"/>
                <w:numId w:val="1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establish and maintain a formal style.</w:t>
            </w:r>
          </w:p>
          <w:p>
            <w:pPr>
              <w:pStyle w:val="Body"/>
              <w:numPr>
                <w:ilvl w:val="1"/>
                <w:numId w:val="1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provide a concluding statement or section that follows from and supports the argument presented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462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S.6-8.L.12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 (Web)"/>
              <w:spacing w:before="0" w:after="300"/>
              <w:rPr>
                <w:rFonts w:ascii="Arial" w:cs="Arial" w:hAnsi="Arial" w:eastAsia="Arial"/>
                <w:sz w:val="23"/>
                <w:szCs w:val="23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Students will write informative/explanatory texts, including the narration of historical events, scientific procedures/ experiments or technical processes: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introduce a topic clearly, previewing what is to follow; organize ideas, concepts and information into broader categories as appropriate to achieving purpose; include formatting (e.g., headings), graphics (e.g., charts and tables) and multimedia when useful to aiding comprehension.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develop the topic with relevant, well-chosen facts, definitions, concrete details, quotations, or other information and examples.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use appropriate and varied transitions to create cohesion and clarify the relationships among ideas and concepts.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use precise language and domain-specific vocabulary to inform about or explain the topic.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establish and maintain a formal style and objective tone.</w:t>
            </w:r>
          </w:p>
          <w:p>
            <w:pPr>
              <w:pStyle w:val="Body"/>
              <w:numPr>
                <w:ilvl w:val="0"/>
                <w:numId w:val="2"/>
              </w:numPr>
              <w:bidi w:val="0"/>
              <w:spacing w:before="100" w:after="100"/>
              <w:ind w:right="0"/>
              <w:jc w:val="left"/>
              <w:rPr>
                <w:rFonts w:ascii="Arial" w:hAnsi="Arial"/>
                <w:sz w:val="23"/>
                <w:szCs w:val="23"/>
                <w:rtl w:val="0"/>
                <w:lang w:val="en-US"/>
              </w:rPr>
            </w:pPr>
            <w:r>
              <w:rPr>
                <w:rFonts w:ascii="Arial" w:hAnsi="Arial"/>
                <w:sz w:val="23"/>
                <w:szCs w:val="23"/>
                <w:rtl w:val="0"/>
                <w:lang w:val="en-US"/>
              </w:rPr>
              <w:t>provide a concluding statement or section that follows from and supports the information or explanation presented.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13" w:hRule="atLeast"/>
        </w:trPr>
        <w:tc>
          <w:tcPr>
            <w:tcW w:type="dxa" w:w="7236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Writing- Production and Distribution of Writing</w:t>
            </w:r>
          </w:p>
        </w:tc>
      </w:tr>
      <w:tr>
        <w:tblPrEx>
          <w:shd w:val="clear" w:color="auto" w:fill="ced7e7"/>
        </w:tblPrEx>
        <w:trPr>
          <w:trHeight w:val="1730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S.6-8.L.13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produce clear and coherent writing in which the development, organization and style are appropriate to task, purpose and audience.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53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S.6-8.L.14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with some guidance and support from peers and adults, develop and strengthen writing as needed by planning, revising, editing, rewriting or trying a new approach, focusing on how well purpose and audience have been addressed.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730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S.6-8.L.15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use technology, including the Internet, to produce and publish writing and present the relationships between information and ideas clearly and efficiently.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00" w:hRule="atLeast"/>
        </w:trPr>
        <w:tc>
          <w:tcPr>
            <w:tcW w:type="dxa" w:w="7236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shd w:val="clear" w:color="auto" w:fill="ffffff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Writing- Research to Build and Present Knowledge</w:t>
            </w:r>
            <w:r>
              <w:rPr>
                <w:rFonts w:ascii="Arial" w:cs="Arial" w:hAnsi="Arial" w:eastAsia="Arial"/>
                <w:sz w:val="23"/>
                <w:szCs w:val="23"/>
                <w:shd w:val="clear" w:color="auto" w:fill="ffffff"/>
              </w:rPr>
            </w:r>
          </w:p>
        </w:tc>
      </w:tr>
      <w:tr>
        <w:tblPrEx>
          <w:shd w:val="clear" w:color="auto" w:fill="ced7e7"/>
        </w:tblPrEx>
        <w:trPr>
          <w:trHeight w:val="1702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S.6-8.L.16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conduct short research projects to answer a question (including a self-generated question), drawing on several sources and generating additional related, focused questions that allow for multiple avenues of exploration.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82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S.6-8.L.17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gather relevant information from multiple print and digital sources, using search terms effectively; assess the credibility and accuracy of each source; and quote or paraphrase the data and conclusions of others while avoiding plagiarism and following a standard format for citation.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42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S.6-8.L.18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draw evidence from informational texts to support analysis, reflection and research.</w:t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00" w:hRule="atLeast"/>
        </w:trPr>
        <w:tc>
          <w:tcPr>
            <w:tcW w:type="dxa" w:w="7236"/>
            <w:gridSpan w:val="4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sz w:val="23"/>
                <w:szCs w:val="23"/>
                <w:lang w:val="en-US"/>
              </w:rPr>
            </w:pP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3"/>
                <w:szCs w:val="23"/>
                <w:rtl w:val="0"/>
                <w:lang w:val="en-US"/>
              </w:rPr>
              <w:t>Topic:</w:t>
            </w:r>
            <w:r>
              <w:rPr>
                <w:rFonts w:ascii="Arial" w:hAnsi="Arial" w:hint="default"/>
                <w:sz w:val="23"/>
                <w:szCs w:val="23"/>
                <w:shd w:val="clear" w:color="auto" w:fill="ffffff"/>
                <w:rtl w:val="0"/>
                <w:lang w:val="en-US"/>
              </w:rPr>
              <w:t> </w:t>
            </w: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Writing- Range of Writing</w:t>
            </w:r>
            <w:r>
              <w:rPr/>
            </w:r>
          </w:p>
        </w:tc>
      </w:tr>
      <w:tr>
        <w:tblPrEx>
          <w:shd w:val="clear" w:color="auto" w:fill="ced7e7"/>
        </w:tblPrEx>
        <w:trPr>
          <w:trHeight w:val="1930" w:hRule="atLeast"/>
        </w:trPr>
        <w:tc>
          <w:tcPr>
            <w:tcW w:type="dxa" w:w="1607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rtl w:val="0"/>
                <w:lang w:val="en-US"/>
              </w:rPr>
              <w:t>S.6-8.L.19</w:t>
            </w:r>
          </w:p>
        </w:tc>
        <w:tc>
          <w:tcPr>
            <w:tcW w:type="dxa" w:w="4069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sz w:val="23"/>
                <w:szCs w:val="23"/>
                <w:shd w:val="clear" w:color="auto" w:fill="ffffff"/>
                <w:rtl w:val="0"/>
                <w:lang w:val="en-US"/>
              </w:rPr>
              <w:t>Students will write routinely over extended time frames (time for reflection and revision) and shorter time frames (a single sitting or a day or two) for a range of discipline-specific tasks, purposes, and audiences.</w:t>
            </w:r>
            <w:r>
              <w:rPr/>
            </w:r>
          </w:p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8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b w:val="1"/>
          <w:bCs w:val="1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440"/>
        </w:tabs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1440"/>
        </w:tabs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1440"/>
        </w:tabs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440"/>
        </w:tabs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1440"/>
        </w:tabs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1440"/>
        </w:tabs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440"/>
        </w:tabs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Strong">
    <w:name w:val="Strong"/>
    <w:rPr>
      <w:rFonts w:ascii="Times New Roman" w:hAnsi="Times New Roman"/>
      <w:b w:val="1"/>
      <w:bCs w:val="1"/>
      <w:lang w:val="en-US"/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